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A" w:rsidRPr="00CE418C" w:rsidRDefault="00A8619A" w:rsidP="00A8619A">
      <w:pPr>
        <w:tabs>
          <w:tab w:val="left" w:pos="7938"/>
          <w:tab w:val="left" w:pos="8222"/>
          <w:tab w:val="left" w:pos="11340"/>
        </w:tabs>
        <w:spacing w:line="276" w:lineRule="auto"/>
        <w:ind w:left="0"/>
        <w:jc w:val="left"/>
        <w:rPr>
          <w:rFonts w:ascii="Arial" w:hAnsi="Arial" w:cs="Arial"/>
          <w:bCs/>
          <w:noProof/>
          <w:sz w:val="28"/>
          <w:szCs w:val="28"/>
          <w:lang w:val="en-US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80C7" wp14:editId="01083115">
                <wp:simplePos x="0" y="0"/>
                <wp:positionH relativeFrom="column">
                  <wp:posOffset>-193879</wp:posOffset>
                </wp:positionH>
                <wp:positionV relativeFrom="paragraph">
                  <wp:posOffset>-73109</wp:posOffset>
                </wp:positionV>
                <wp:extent cx="629729" cy="319177"/>
                <wp:effectExtent l="0" t="0" r="18415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" cy="3191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-15.25pt;margin-top:-5.75pt;width:49.6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US" w:eastAsia="fr-FR"/>
        </w:rPr>
        <w:t>BG</w:t>
      </w:r>
    </w:p>
    <w:p w:rsidR="00A8619A" w:rsidRDefault="00A8619A" w:rsidP="007A15C1">
      <w:pPr>
        <w:tabs>
          <w:tab w:val="left" w:pos="7938"/>
          <w:tab w:val="left" w:pos="8222"/>
          <w:tab w:val="left" w:pos="11340"/>
        </w:tabs>
        <w:ind w:left="0"/>
        <w:jc w:val="left"/>
        <w:rPr>
          <w:rFonts w:ascii="Arial" w:hAnsi="Arial" w:cs="Arial"/>
          <w:b/>
          <w:bCs/>
          <w:i/>
          <w:sz w:val="28"/>
          <w:szCs w:val="28"/>
          <w:lang w:eastAsia="fr-FR"/>
        </w:rPr>
      </w:pPr>
    </w:p>
    <w:p w:rsidR="005838C8" w:rsidRPr="005838C8" w:rsidRDefault="00542233" w:rsidP="007A15C1">
      <w:pPr>
        <w:tabs>
          <w:tab w:val="left" w:pos="7938"/>
          <w:tab w:val="left" w:pos="8222"/>
          <w:tab w:val="left" w:pos="11340"/>
        </w:tabs>
        <w:ind w:left="0"/>
        <w:jc w:val="left"/>
        <w:rPr>
          <w:rFonts w:ascii="Arial" w:hAnsi="Arial" w:cs="Arial"/>
          <w:b/>
          <w:bCs/>
          <w:i/>
          <w:sz w:val="28"/>
          <w:szCs w:val="28"/>
          <w:lang w:val="bg-BG" w:eastAsia="fr-FR"/>
        </w:rPr>
      </w:pPr>
      <w:r w:rsidRPr="005838C8">
        <w:rPr>
          <w:rFonts w:ascii="Arial" w:hAnsi="Arial" w:cs="Arial"/>
          <w:b/>
          <w:bCs/>
          <w:i/>
          <w:sz w:val="28"/>
          <w:szCs w:val="28"/>
          <w:lang w:val="bg-BG" w:eastAsia="fr-FR"/>
        </w:rPr>
        <w:t>Запеч</w:t>
      </w:r>
      <w:r w:rsidR="005838C8">
        <w:rPr>
          <w:rFonts w:ascii="Arial" w:hAnsi="Arial" w:cs="Arial"/>
          <w:b/>
          <w:bCs/>
          <w:i/>
          <w:sz w:val="28"/>
          <w:szCs w:val="28"/>
          <w:lang w:val="bg-BG" w:eastAsia="fr-FR"/>
        </w:rPr>
        <w:t>ат</w:t>
      </w:r>
      <w:r w:rsidRPr="005838C8">
        <w:rPr>
          <w:rFonts w:ascii="Arial" w:hAnsi="Arial" w:cs="Arial"/>
          <w:b/>
          <w:bCs/>
          <w:i/>
          <w:sz w:val="28"/>
          <w:szCs w:val="28"/>
          <w:lang w:val="bg-BG" w:eastAsia="fr-FR"/>
        </w:rPr>
        <w:t>ващо вещество от биоактивен минерал</w:t>
      </w:r>
      <w:r w:rsidR="005838C8">
        <w:rPr>
          <w:rFonts w:ascii="Arial" w:hAnsi="Arial" w:cs="Arial"/>
          <w:b/>
          <w:bCs/>
          <w:i/>
          <w:sz w:val="28"/>
          <w:szCs w:val="28"/>
          <w:lang w:val="bg-BG" w:eastAsia="fr-FR"/>
        </w:rPr>
        <w:t xml:space="preserve"> </w:t>
      </w:r>
      <w:r w:rsidRPr="005838C8">
        <w:rPr>
          <w:rFonts w:ascii="Arial" w:hAnsi="Arial" w:cs="Arial"/>
          <w:b/>
          <w:bCs/>
          <w:i/>
          <w:sz w:val="28"/>
          <w:szCs w:val="28"/>
          <w:lang w:val="bg-BG" w:eastAsia="fr-FR"/>
        </w:rPr>
        <w:t>за коренови канали</w:t>
      </w:r>
    </w:p>
    <w:p w:rsidR="00375E93" w:rsidRPr="005838C8" w:rsidRDefault="00375E93">
      <w:pPr>
        <w:rPr>
          <w:lang w:val="bg-BG"/>
        </w:rPr>
      </w:pPr>
    </w:p>
    <w:p w:rsidR="00E934AE" w:rsidRPr="005838C8" w:rsidRDefault="00542233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СЪСТАВ</w:t>
      </w:r>
    </w:p>
    <w:p w:rsidR="00294F3E" w:rsidRDefault="00294F3E" w:rsidP="00294F3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Прах на базата на трикалциев силикат, циркониев окис и Повидон.</w:t>
      </w:r>
    </w:p>
    <w:p w:rsidR="00294F3E" w:rsidRDefault="00294F3E" w:rsidP="00294F3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Воден разтвор на калциев хлорид и поликарбоксилат.</w:t>
      </w:r>
    </w:p>
    <w:p w:rsidR="00E934AE" w:rsidRPr="005838C8" w:rsidRDefault="00E934AE" w:rsidP="00294F3E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4AE" w:rsidRPr="005838C8" w:rsidRDefault="00542233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СВОЙСТВА</w:t>
      </w:r>
    </w:p>
    <w:p w:rsidR="00E934AE" w:rsidRPr="005838C8" w:rsidRDefault="00E934AE" w:rsidP="00E934A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е запечатващ препарат за коренови канали от биоактивно минерално вещество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на базата на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Septodont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E0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патентована и с иновативна минерална микро-агрегатна химия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Активна био-силикатна технология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, която предлага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Висока чистота на минерала и рецептура без мономери</w:t>
      </w:r>
    </w:p>
    <w:p w:rsidR="005838C8" w:rsidRPr="005838C8" w:rsidRDefault="00542233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  <w:t>Хидроксиапатитна структура на контактната повърхност между зъба и запечатващото вещество и минерализация на денталната структура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Антимикробни свойства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Устойчивост на микро утечки</w:t>
      </w:r>
    </w:p>
    <w:p w:rsidR="00E934AE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Непроницаем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за рентгеновите лъчи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Лесна употреба</w:t>
      </w:r>
    </w:p>
    <w:p w:rsidR="00E934AE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42233" w:rsidRPr="005838C8">
        <w:rPr>
          <w:rFonts w:ascii="Times New Roman" w:hAnsi="Times New Roman" w:cs="Times New Roman"/>
          <w:sz w:val="24"/>
          <w:szCs w:val="24"/>
          <w:lang w:val="bg-BG"/>
        </w:rPr>
        <w:t>Възможност за отстраняване</w:t>
      </w:r>
    </w:p>
    <w:p w:rsidR="00294F3E" w:rsidRDefault="00294F3E" w:rsidP="00294F3E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BioRoot</w:t>
      </w:r>
      <w:r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RCS може да се счита за напълно безопасен при магнитен резонанс, без никакви потенциални взаимодействия с магнитно-резонансното поле.</w:t>
      </w:r>
    </w:p>
    <w:p w:rsidR="00294F3E" w:rsidRDefault="00294F3E" w:rsidP="00294F3E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BioRoot</w:t>
      </w:r>
      <w:r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RCS е подходящ за употреба по време на бременност.</w:t>
      </w:r>
    </w:p>
    <w:p w:rsidR="009A3441" w:rsidRPr="005838C8" w:rsidRDefault="009A3441" w:rsidP="009A3441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38C8" w:rsidRPr="005838C8" w:rsidRDefault="006F2B7A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ФУНКЦИНАЛНИ ПАРАМЕТРИ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е биосъвместим във висока степен и намалява риска от неблагоприятни ефекти върху тъканите</w:t>
      </w:r>
      <w:r w:rsidR="00F55CE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38C8" w:rsidRPr="005838C8" w:rsidRDefault="00E934AE" w:rsidP="006F2B7A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стимулира костните физиологични процеси и минерализацията на денталната структура. Следователно,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създава благоприятна среда за периапикалното заздравяване.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предотвратява бактериален растеж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който води до клинични проблеми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Кристализацията на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създава плътно уплътнение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дентинните каналчета.</w:t>
      </w:r>
    </w:p>
    <w:p w:rsidR="00E934AE" w:rsidRDefault="00E934AE" w:rsidP="00F20197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ab/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може лесно да се отстрани от коренния канал, когато се налага повторно лечение.</w:t>
      </w:r>
    </w:p>
    <w:p w:rsidR="00294F3E" w:rsidRPr="00294F3E" w:rsidRDefault="00294F3E" w:rsidP="00F20197">
      <w:pPr>
        <w:autoSpaceDE w:val="0"/>
        <w:autoSpaceDN w:val="0"/>
        <w:adjustRightInd w:val="0"/>
        <w:spacing w:before="0" w:after="0"/>
        <w:ind w:left="426" w:right="175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34AE" w:rsidRPr="005838C8" w:rsidRDefault="006F2B7A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ПОКАЗАНИЯ</w:t>
      </w:r>
    </w:p>
    <w:p w:rsidR="005838C8" w:rsidRPr="005838C8" w:rsidRDefault="00377415" w:rsidP="00E934A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Постоянно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запълване на коренов канал в комбинация с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тампони с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гута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перча при случаи на витална или некротична пулпа или след процедура за повторно лечение.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6F2B7A" w:rsidRPr="005838C8">
        <w:rPr>
          <w:rFonts w:ascii="Times New Roman" w:hAnsi="Times New Roman" w:cs="Times New Roman"/>
          <w:sz w:val="24"/>
          <w:szCs w:val="24"/>
          <w:lang w:val="bg-BG"/>
        </w:rPr>
        <w:t>е подходящ за употреба при техниката с един конус или студена странична кондензация.</w:t>
      </w:r>
    </w:p>
    <w:p w:rsidR="00E934AE" w:rsidRPr="005838C8" w:rsidRDefault="00E934AE" w:rsidP="00E934AE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38C8" w:rsidRPr="005838C8" w:rsidRDefault="006F2B7A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ПРОТИВОПОКАЗАНИЯ И ПРЕДПАЗНИ МЕРКИ</w:t>
      </w:r>
    </w:p>
    <w:p w:rsidR="00E934AE" w:rsidRDefault="006F2B7A" w:rsidP="00F20197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Алергия към един от компонентите.</w:t>
      </w:r>
    </w:p>
    <w:p w:rsidR="00F20197" w:rsidRPr="005838C8" w:rsidRDefault="00F20197" w:rsidP="00F20197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4F3E" w:rsidRDefault="00294F3E">
      <w:pPr>
        <w:spacing w:before="0" w:after="0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page"/>
      </w:r>
    </w:p>
    <w:p w:rsidR="00E934AE" w:rsidRPr="005838C8" w:rsidRDefault="006F2B7A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НЕБЛАГОПРИЯТНИ ВЪЗДЕЙСТВИЯ</w:t>
      </w:r>
    </w:p>
    <w:p w:rsidR="0063663F" w:rsidRDefault="006F2B7A" w:rsidP="00F20197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Не са известни неблагоприятни въздействия.</w:t>
      </w:r>
    </w:p>
    <w:p w:rsidR="00294F3E" w:rsidRPr="00294F3E" w:rsidRDefault="00294F3E" w:rsidP="00F20197">
      <w:pPr>
        <w:autoSpaceDE w:val="0"/>
        <w:autoSpaceDN w:val="0"/>
        <w:adjustRightInd w:val="0"/>
        <w:spacing w:before="0" w:after="0"/>
        <w:ind w:left="0" w:right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C8" w:rsidRPr="005838C8" w:rsidRDefault="006F2B7A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ИНСТРУКЦИИ ЗА СМЕСВАНЕ</w:t>
      </w:r>
    </w:p>
    <w:p w:rsidR="005838C8" w:rsidRPr="005838C8" w:rsidRDefault="00D11954" w:rsidP="00E934AE">
      <w:pPr>
        <w:autoSpaceDE w:val="0"/>
        <w:autoSpaceDN w:val="0"/>
        <w:adjustRightInd w:val="0"/>
        <w:spacing w:before="0" w:after="0"/>
        <w:ind w:left="284" w:right="175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Сместа трябва да се приготви непосредствено преди употреба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284" w:right="175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1/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>Вземете прах с лъжичката, поставена в кутията. Поставете равна лъжичка прах върху смесителна подложка.</w:t>
      </w:r>
    </w:p>
    <w:p w:rsidR="005838C8" w:rsidRPr="005838C8" w:rsidRDefault="00E934AE" w:rsidP="00E934AE">
      <w:pPr>
        <w:autoSpaceDE w:val="0"/>
        <w:autoSpaceDN w:val="0"/>
        <w:adjustRightInd w:val="0"/>
        <w:spacing w:before="0" w:after="0"/>
        <w:ind w:left="284" w:right="175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2/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Откъснете контейнер за смесване на единична доза разтвор.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Завъртете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>, за да отворите. Изсипете 5 капки от контейнера за единична доза върху смесителната подложка.</w:t>
      </w:r>
    </w:p>
    <w:p w:rsidR="00E934AE" w:rsidRPr="00294F3E" w:rsidRDefault="00E934AE" w:rsidP="00E934AE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3/ </w:t>
      </w:r>
      <w:r w:rsidR="00F20197" w:rsidRPr="00294F3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11954" w:rsidRPr="00294F3E">
        <w:rPr>
          <w:rFonts w:ascii="Times New Roman" w:hAnsi="Times New Roman" w:cs="Times New Roman"/>
          <w:sz w:val="24"/>
          <w:szCs w:val="24"/>
          <w:lang w:val="bg-BG"/>
        </w:rPr>
        <w:t>одгответе запечатващия препарат за кореновия канал</w:t>
      </w:r>
      <w:r w:rsidR="00F20197" w:rsidRPr="00294F3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11954"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 като прогресивно добавяте прах към течността. Смесвайте</w:t>
      </w:r>
      <w:r w:rsidR="00F20197" w:rsidRPr="00294F3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11954"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 докато получите гладка паста </w:t>
      </w:r>
      <w:r w:rsidRPr="00294F3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11954"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за около </w:t>
      </w:r>
      <w:r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60 </w:t>
      </w:r>
      <w:r w:rsidR="00D11954" w:rsidRPr="00294F3E">
        <w:rPr>
          <w:rFonts w:ascii="Times New Roman" w:hAnsi="Times New Roman" w:cs="Times New Roman"/>
          <w:sz w:val="24"/>
          <w:szCs w:val="24"/>
          <w:lang w:val="bg-BG"/>
        </w:rPr>
        <w:t>секунди</w:t>
      </w:r>
      <w:r w:rsidRPr="00294F3E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294F3E" w:rsidRPr="00294F3E">
        <w:rPr>
          <w:rFonts w:ascii="Times New Roman" w:hAnsi="Times New Roman" w:cs="Times New Roman"/>
          <w:sz w:val="24"/>
          <w:szCs w:val="24"/>
          <w:lang w:val="bg-BG"/>
        </w:rPr>
        <w:t xml:space="preserve"> Щом получите гладка, кремообразна смес, спрете да добавяте от останалия прах към течността.</w:t>
      </w:r>
    </w:p>
    <w:p w:rsidR="005838C8" w:rsidRPr="005838C8" w:rsidRDefault="00E934AE" w:rsidP="00E934AE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4/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>Незабавно промийте и почистете инструментите, за да отстраните остатъците от материала.</w:t>
      </w:r>
    </w:p>
    <w:p w:rsidR="00E934AE" w:rsidRPr="005838C8" w:rsidRDefault="00E934AE" w:rsidP="00E934AE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5/ 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има минимално време за работа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минути и максимално време за втвърдяване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34AE" w:rsidRPr="005838C8" w:rsidRDefault="00E934AE" w:rsidP="00E934AE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38C8" w:rsidRPr="005838C8" w:rsidRDefault="00D11954" w:rsidP="00E934AE">
      <w:pPr>
        <w:autoSpaceDE w:val="0"/>
        <w:autoSpaceDN w:val="0"/>
        <w:adjustRightInd w:val="0"/>
        <w:spacing w:before="0" w:after="0" w:line="36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</w:t>
      </w:r>
      <w:r w:rsidR="00C227B0"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ВЯНЕ В КОРЕНОВИЯ КАНАЛ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1/ 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>Почистете кореновия канал и оформете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11954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като използвате стандартните ендодонтски процедури.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2/ </w:t>
      </w:r>
      <w:r w:rsidR="00C227B0" w:rsidRPr="005838C8">
        <w:rPr>
          <w:rFonts w:ascii="Times New Roman" w:hAnsi="Times New Roman" w:cs="Times New Roman"/>
          <w:sz w:val="24"/>
          <w:szCs w:val="24"/>
          <w:lang w:val="bg-BG"/>
        </w:rPr>
        <w:t>Изберете стан</w:t>
      </w:r>
      <w:r w:rsidR="00377415" w:rsidRPr="005838C8">
        <w:rPr>
          <w:rFonts w:ascii="Times New Roman" w:hAnsi="Times New Roman" w:cs="Times New Roman"/>
          <w:sz w:val="24"/>
          <w:szCs w:val="24"/>
          <w:lang w:val="bg-BG"/>
        </w:rPr>
        <w:t>дартизиран мастър конус за гута-</w:t>
      </w:r>
      <w:r w:rsidR="00C227B0" w:rsidRPr="005838C8">
        <w:rPr>
          <w:rFonts w:ascii="Times New Roman" w:hAnsi="Times New Roman" w:cs="Times New Roman"/>
          <w:sz w:val="24"/>
          <w:szCs w:val="24"/>
          <w:lang w:val="bg-BG"/>
        </w:rPr>
        <w:t>перча и проверете дали приляга плътно по работната дължина.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3/ </w:t>
      </w:r>
      <w:r w:rsidR="00C227B0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Изсушете канала с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хартиени тампони.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4/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Подгответе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в съответствие с гореспоменатите инструкции за смесване.</w:t>
      </w:r>
    </w:p>
    <w:p w:rsidR="005838C8" w:rsidRPr="005838C8" w:rsidRDefault="00E934AE" w:rsidP="007714CA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5/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Положете слой от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върху стените на канала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като използвате или хартиено тампон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или тампон с гута-перча.</w:t>
      </w:r>
    </w:p>
    <w:p w:rsidR="005838C8" w:rsidRPr="005838C8" w:rsidRDefault="00E934AE" w:rsidP="007714CA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6/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Завършете обтурацията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като поставите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мастър конус за гута-перча с предварително поставеното покритие от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(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>техника с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единичен конус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или няколко тампона с гута перча с покритие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техника на странична кондензация).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7/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Оценете качеството на запълване на кореновия канал с радиограф.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8/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Използвайте </w:t>
      </w:r>
      <w:r w:rsidR="00377415" w:rsidRPr="005838C8">
        <w:rPr>
          <w:rFonts w:ascii="Times New Roman" w:hAnsi="Times New Roman" w:cs="Times New Roman"/>
          <w:sz w:val="24"/>
          <w:szCs w:val="24"/>
          <w:lang w:val="bg-BG"/>
        </w:rPr>
        <w:t>горещ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инструмент за разделяне на стърчаща гута-перча.</w:t>
      </w:r>
    </w:p>
    <w:p w:rsidR="005838C8" w:rsidRPr="005838C8" w:rsidRDefault="00E934AE" w:rsidP="007714C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9/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Направете временно възстановяване</w:t>
      </w:r>
      <w:r w:rsidR="00BB3F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като използвате някой от материалите за временно запълване.</w:t>
      </w:r>
    </w:p>
    <w:p w:rsidR="00E934AE" w:rsidRPr="005838C8" w:rsidRDefault="00E934AE" w:rsidP="007714CA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10/</w:t>
      </w:r>
      <w:r w:rsidR="00F201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Ако се налага поставяне на щифт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това трябва да стане след пълното втвърдяване на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RCS,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т.е. в рамките на период от 1 седмица до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месец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38C8" w:rsidRPr="005838C8" w:rsidRDefault="00EE5A71" w:rsidP="00771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Направете радиография за проверка на здравината на апикалната пломба на канала на дълбочина от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34AE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E934AE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5 mm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38C8" w:rsidRPr="005838C8" w:rsidRDefault="00EE5A71" w:rsidP="007714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sz w:val="24"/>
          <w:szCs w:val="24"/>
          <w:lang w:val="bg-BG"/>
        </w:rPr>
        <w:t>ОТСТРАНЯВАНЕ</w:t>
      </w:r>
      <w:r w:rsidR="005838C8" w:rsidRPr="005838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838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E934AE" w:rsidRPr="005838C8">
        <w:rPr>
          <w:rFonts w:ascii="Times New Roman" w:hAnsi="Times New Roman" w:cs="Times New Roman"/>
          <w:b/>
          <w:sz w:val="24"/>
          <w:szCs w:val="24"/>
          <w:lang w:val="bg-BG"/>
        </w:rPr>
        <w:t>BioRoot</w:t>
      </w:r>
      <w:r w:rsidR="00E934AE" w:rsidRPr="005838C8">
        <w:rPr>
          <w:rFonts w:ascii="Times New Roman" w:hAnsi="Times New Roman" w:cs="Times New Roman"/>
          <w:b/>
          <w:sz w:val="24"/>
          <w:szCs w:val="24"/>
          <w:vertAlign w:val="superscript"/>
          <w:lang w:val="bg-BG"/>
        </w:rPr>
        <w:t>TM</w:t>
      </w:r>
      <w:r w:rsidR="00E934AE" w:rsidRPr="005838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RCS</w:t>
      </w:r>
    </w:p>
    <w:p w:rsidR="00E934AE" w:rsidRPr="005838C8" w:rsidRDefault="00EE5A71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И тъй като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34AE" w:rsidRPr="005838C8">
        <w:rPr>
          <w:rFonts w:ascii="Times New Roman" w:hAnsi="Times New Roman" w:cs="Times New Roman"/>
          <w:sz w:val="24"/>
          <w:szCs w:val="24"/>
          <w:lang w:val="bg-BG"/>
        </w:rPr>
        <w:t>BioRoot</w:t>
      </w:r>
      <w:r w:rsidR="00E934AE" w:rsidRPr="005838C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TM</w:t>
      </w:r>
      <w:r w:rsidR="00E934AE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RCS </w:t>
      </w:r>
      <w:r w:rsidR="00BB3FD7">
        <w:rPr>
          <w:rFonts w:ascii="Times New Roman" w:hAnsi="Times New Roman" w:cs="Times New Roman"/>
          <w:sz w:val="24"/>
          <w:szCs w:val="24"/>
          <w:lang w:val="bg-BG"/>
        </w:rPr>
        <w:t>се използва в комбинация с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тампони с гута-перча, препаратът може да бъде отстранен</w:t>
      </w:r>
      <w:r w:rsidR="00BB3F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като се използват конвенционалните техники за отстраняване.</w:t>
      </w:r>
    </w:p>
    <w:p w:rsidR="00E934AE" w:rsidRPr="005838C8" w:rsidRDefault="00E934AE" w:rsidP="007714CA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2FD" w:rsidRDefault="001932FD">
      <w:pPr>
        <w:spacing w:before="0" w:after="0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page"/>
      </w:r>
    </w:p>
    <w:p w:rsidR="005838C8" w:rsidRPr="005838C8" w:rsidRDefault="00EE5A71" w:rsidP="007714CA">
      <w:pPr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ПРЕДУПРЕЖДЕНИЯ И ПРЕДПАЗНИ МЕРКИ ПРИ УПОТРЕБА</w:t>
      </w:r>
    </w:p>
    <w:p w:rsidR="005838C8" w:rsidRPr="005838C8" w:rsidRDefault="00E934AE" w:rsidP="007714CA">
      <w:pPr>
        <w:ind w:left="284" w:hanging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Уверете се, че гумената яка е правилно поставена, така че да изолира работното поле.</w:t>
      </w:r>
    </w:p>
    <w:p w:rsidR="005838C8" w:rsidRPr="005838C8" w:rsidRDefault="00E934AE" w:rsidP="007714CA">
      <w:pPr>
        <w:ind w:left="284" w:hanging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E5A71" w:rsidRPr="005838C8">
        <w:rPr>
          <w:rFonts w:ascii="Times New Roman" w:hAnsi="Times New Roman" w:cs="Times New Roman"/>
          <w:sz w:val="24"/>
          <w:szCs w:val="24"/>
          <w:lang w:val="bg-BG"/>
        </w:rPr>
        <w:t>В случай на широк апикален форамен,</w:t>
      </w:r>
      <w:r w:rsidR="005838C8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40D" w:rsidRPr="005838C8">
        <w:rPr>
          <w:rFonts w:ascii="Times New Roman" w:hAnsi="Times New Roman" w:cs="Times New Roman"/>
          <w:sz w:val="24"/>
          <w:szCs w:val="24"/>
          <w:lang w:val="bg-BG"/>
        </w:rPr>
        <w:t>апексификацията на кореновия канал трябва да предшества запълването на кореновия канал.</w:t>
      </w:r>
    </w:p>
    <w:p w:rsidR="00E934AE" w:rsidRPr="005838C8" w:rsidRDefault="00E934AE" w:rsidP="007714CA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4AE" w:rsidRPr="005838C8" w:rsidRDefault="0048140D" w:rsidP="007714CA">
      <w:pPr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КОНСЕРВАЦИЯ</w:t>
      </w:r>
    </w:p>
    <w:p w:rsidR="005838C8" w:rsidRPr="005838C8" w:rsidRDefault="0048140D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Да се съхранява на сухо място.</w:t>
      </w:r>
    </w:p>
    <w:p w:rsidR="005838C8" w:rsidRPr="005838C8" w:rsidRDefault="0048140D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контейнерите за единични дози трябва да се използват непосредствено след отваряне. Останалият материал трябва да се изхвърли.</w:t>
      </w:r>
    </w:p>
    <w:p w:rsidR="005838C8" w:rsidRPr="005838C8" w:rsidRDefault="0048140D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>Използвайте праха до 6 месеца след първоначалното му отваряне.</w:t>
      </w:r>
    </w:p>
    <w:p w:rsidR="00341700" w:rsidRPr="005838C8" w:rsidRDefault="00341700">
      <w:pPr>
        <w:spacing w:before="0" w:after="0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34AE" w:rsidRPr="005838C8" w:rsidRDefault="0048140D" w:rsidP="007714CA">
      <w:pPr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ОПАКОВКА</w:t>
      </w:r>
    </w:p>
    <w:p w:rsidR="00E934AE" w:rsidRPr="005838C8" w:rsidRDefault="00E934AE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- 1 </w:t>
      </w:r>
      <w:r w:rsidR="0048140D"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бутилка с </w:t>
      </w: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15 g </w:t>
      </w:r>
      <w:r w:rsidR="0048140D" w:rsidRPr="005838C8">
        <w:rPr>
          <w:rFonts w:ascii="Times New Roman" w:hAnsi="Times New Roman" w:cs="Times New Roman"/>
          <w:sz w:val="24"/>
          <w:szCs w:val="24"/>
          <w:lang w:val="bg-BG"/>
        </w:rPr>
        <w:t>прах</w:t>
      </w:r>
    </w:p>
    <w:p w:rsidR="005838C8" w:rsidRPr="005838C8" w:rsidRDefault="00E934AE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- 35 </w:t>
      </w:r>
      <w:r w:rsidR="0048140D" w:rsidRPr="005838C8">
        <w:rPr>
          <w:rFonts w:ascii="Times New Roman" w:hAnsi="Times New Roman" w:cs="Times New Roman"/>
          <w:sz w:val="24"/>
          <w:szCs w:val="24"/>
          <w:lang w:val="bg-BG"/>
        </w:rPr>
        <w:t>контейнера с течност с еднокатни дози</w:t>
      </w:r>
    </w:p>
    <w:p w:rsidR="00E934AE" w:rsidRPr="005838C8" w:rsidRDefault="00E934AE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sz w:val="24"/>
          <w:szCs w:val="24"/>
          <w:lang w:val="bg-BG"/>
        </w:rPr>
        <w:t xml:space="preserve">- 1 </w:t>
      </w:r>
      <w:r w:rsidR="0048140D" w:rsidRPr="005838C8">
        <w:rPr>
          <w:rFonts w:ascii="Times New Roman" w:hAnsi="Times New Roman" w:cs="Times New Roman"/>
          <w:sz w:val="24"/>
          <w:szCs w:val="24"/>
          <w:lang w:val="bg-BG"/>
        </w:rPr>
        <w:t>лъжичка</w:t>
      </w:r>
    </w:p>
    <w:p w:rsidR="00E934AE" w:rsidRPr="005838C8" w:rsidRDefault="00E934AE" w:rsidP="007714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38C8" w:rsidRPr="005838C8" w:rsidRDefault="00377415" w:rsidP="007714CA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838C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Само </w:t>
      </w:r>
      <w:r w:rsidR="0048140D" w:rsidRPr="005838C8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професионални</w:t>
      </w:r>
      <w:r w:rsidR="00BB3FD7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="0048140D" w:rsidRPr="005838C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дентални приложения</w:t>
      </w:r>
    </w:p>
    <w:p w:rsidR="0063663F" w:rsidRPr="005838C8" w:rsidRDefault="0063663F" w:rsidP="00E934AE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75F9" w:rsidRPr="00A8619A" w:rsidRDefault="0048140D" w:rsidP="00E934AE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8619A">
        <w:rPr>
          <w:rFonts w:ascii="Times New Roman" w:hAnsi="Times New Roman" w:cs="Times New Roman"/>
          <w:b/>
          <w:i/>
          <w:sz w:val="24"/>
          <w:szCs w:val="24"/>
          <w:lang w:val="bg-BG"/>
        </w:rPr>
        <w:t>Дистрибутор</w:t>
      </w:r>
      <w:r w:rsidR="002575F9" w:rsidRPr="00A8619A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</w:p>
    <w:p w:rsidR="00A8619A" w:rsidRDefault="00A8619A" w:rsidP="00A8619A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SEPTODONT – 58, Rue du Pont de Créteil</w:t>
      </w:r>
    </w:p>
    <w:p w:rsidR="00A8619A" w:rsidRDefault="00A8619A" w:rsidP="00A8619A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94107 Saint-Maur-des-Fossés Cedex – France</w:t>
      </w:r>
    </w:p>
    <w:p w:rsidR="00A8619A" w:rsidRPr="00E934AE" w:rsidRDefault="00A8619A" w:rsidP="00A8619A">
      <w:pPr>
        <w:tabs>
          <w:tab w:val="left" w:pos="7938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33(1) 49 76 0 00</w:t>
      </w:r>
    </w:p>
    <w:p w:rsidR="0063663F" w:rsidRPr="005838C8" w:rsidRDefault="0063663F" w:rsidP="00E934AE">
      <w:pPr>
        <w:tabs>
          <w:tab w:val="left" w:pos="7938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3663F" w:rsidRPr="005838C8" w:rsidSect="00100380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E"/>
    <w:rsid w:val="00100380"/>
    <w:rsid w:val="001932FD"/>
    <w:rsid w:val="002575F9"/>
    <w:rsid w:val="00294F3E"/>
    <w:rsid w:val="00341700"/>
    <w:rsid w:val="00375E93"/>
    <w:rsid w:val="00377415"/>
    <w:rsid w:val="00471187"/>
    <w:rsid w:val="0048140D"/>
    <w:rsid w:val="004B01D0"/>
    <w:rsid w:val="00542233"/>
    <w:rsid w:val="005838C8"/>
    <w:rsid w:val="005D6A93"/>
    <w:rsid w:val="005F7C4E"/>
    <w:rsid w:val="006255C6"/>
    <w:rsid w:val="0063663F"/>
    <w:rsid w:val="006F2B7A"/>
    <w:rsid w:val="007714CA"/>
    <w:rsid w:val="007A15C1"/>
    <w:rsid w:val="00873B96"/>
    <w:rsid w:val="009A3441"/>
    <w:rsid w:val="009D7324"/>
    <w:rsid w:val="00A8619A"/>
    <w:rsid w:val="00A87565"/>
    <w:rsid w:val="00B0639D"/>
    <w:rsid w:val="00BA2168"/>
    <w:rsid w:val="00BB3FD7"/>
    <w:rsid w:val="00C227B0"/>
    <w:rsid w:val="00CB00D7"/>
    <w:rsid w:val="00CE0AD5"/>
    <w:rsid w:val="00D11954"/>
    <w:rsid w:val="00D15812"/>
    <w:rsid w:val="00D95F14"/>
    <w:rsid w:val="00E04E02"/>
    <w:rsid w:val="00E63710"/>
    <w:rsid w:val="00E934AE"/>
    <w:rsid w:val="00EE1D9F"/>
    <w:rsid w:val="00EE5A71"/>
    <w:rsid w:val="00F20197"/>
    <w:rsid w:val="00F51310"/>
    <w:rsid w:val="00F5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AE"/>
    <w:pPr>
      <w:spacing w:before="40" w:after="40"/>
      <w:ind w:left="74" w:right="68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41700"/>
    <w:pPr>
      <w:widowControl w:val="0"/>
      <w:spacing w:before="0" w:after="0"/>
      <w:ind w:left="118" w:righ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41700"/>
    <w:rPr>
      <w:rFonts w:eastAsia="Times New Roman" w:cstheme="minorBid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AE"/>
    <w:pPr>
      <w:spacing w:before="40" w:after="40"/>
      <w:ind w:left="74" w:right="68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41700"/>
    <w:pPr>
      <w:widowControl w:val="0"/>
      <w:spacing w:before="0" w:after="0"/>
      <w:ind w:left="118" w:righ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41700"/>
    <w:rPr>
      <w:rFonts w:eastAsia="Times New Roman" w:cstheme="minorBid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Guevel</dc:creator>
  <cp:lastModifiedBy>Dominique Guevel</cp:lastModifiedBy>
  <cp:revision>6</cp:revision>
  <dcterms:created xsi:type="dcterms:W3CDTF">2015-07-31T12:41:00Z</dcterms:created>
  <dcterms:modified xsi:type="dcterms:W3CDTF">2015-08-06T06:55:00Z</dcterms:modified>
</cp:coreProperties>
</file>